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Heading2"/>
        <w:ind w:left="7080"/>
        <w:rPr>
          <w:sz w:val="24"/>
          <w:szCs w:val="24"/>
        </w:rPr>
      </w:pPr>
      <w:r w:rsidRPr="00094992">
        <w:rPr>
          <w:sz w:val="24"/>
          <w:szCs w:val="24"/>
        </w:rPr>
        <w:t>Załącznik II.1</w:t>
      </w:r>
    </w:p>
    <w:p w:rsidR="00705E05" w:rsidRPr="00094992" w:rsidRDefault="00705E05">
      <w:pPr>
        <w:pStyle w:val="Heading2"/>
        <w:rPr>
          <w:sz w:val="24"/>
          <w:szCs w:val="24"/>
        </w:rPr>
      </w:pPr>
    </w:p>
    <w:p w:rsidR="00705E05" w:rsidRPr="00094992" w:rsidRDefault="00705E05">
      <w:pPr>
        <w:pStyle w:val="Heading2"/>
        <w:rPr>
          <w:color w:val="FF0000"/>
          <w:sz w:val="24"/>
          <w:szCs w:val="24"/>
        </w:rPr>
      </w:pPr>
      <w:r w:rsidRPr="00094992">
        <w:rPr>
          <w:sz w:val="24"/>
          <w:szCs w:val="24"/>
        </w:rPr>
        <w:t>1.3. Karta modułu/przedmiotu</w:t>
      </w:r>
      <w:r w:rsidRPr="00094992">
        <w:rPr>
          <w:sz w:val="24"/>
          <w:szCs w:val="24"/>
        </w:rPr>
        <w:tab/>
      </w:r>
      <w:r w:rsidRPr="00094992">
        <w:rPr>
          <w:sz w:val="24"/>
          <w:szCs w:val="24"/>
        </w:rPr>
        <w:tab/>
      </w:r>
      <w:r w:rsidRPr="00094992">
        <w:rPr>
          <w:sz w:val="24"/>
          <w:szCs w:val="24"/>
        </w:rPr>
        <w:tab/>
      </w:r>
      <w:r w:rsidRPr="00094992">
        <w:rPr>
          <w:sz w:val="24"/>
          <w:szCs w:val="24"/>
        </w:rPr>
        <w:tab/>
      </w:r>
      <w:r w:rsidRPr="00094992">
        <w:rPr>
          <w:sz w:val="24"/>
          <w:szCs w:val="24"/>
        </w:rPr>
        <w:tab/>
      </w:r>
      <w:r w:rsidRPr="00094992">
        <w:rPr>
          <w:sz w:val="24"/>
          <w:szCs w:val="24"/>
        </w:rPr>
        <w:tab/>
      </w:r>
      <w:r w:rsidRPr="00094992">
        <w:rPr>
          <w:sz w:val="24"/>
          <w:szCs w:val="24"/>
        </w:rPr>
        <w:tab/>
      </w:r>
    </w:p>
    <w:p w:rsidR="00705E05" w:rsidRPr="00094992" w:rsidRDefault="00705E05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705E05" w:rsidRPr="0009499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705E05" w:rsidRPr="00094992" w:rsidRDefault="00705E05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705E05" w:rsidRPr="00094992" w:rsidRDefault="00705E05" w:rsidP="00707BFB">
            <w:pPr>
              <w:pStyle w:val="ListParagraph"/>
              <w:spacing w:after="200" w:line="276" w:lineRule="auto"/>
              <w:ind w:left="0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Poetyki czytania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705E05" w:rsidRPr="0009499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05E05" w:rsidRPr="00094992" w:rsidRDefault="00705E05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Poetyki czytania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705E05" w:rsidRPr="00094992">
        <w:trPr>
          <w:cantSplit/>
        </w:trPr>
        <w:tc>
          <w:tcPr>
            <w:tcW w:w="497" w:type="dxa"/>
            <w:vMerge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705E05" w:rsidRPr="00094992">
        <w:trPr>
          <w:cantSplit/>
        </w:trPr>
        <w:tc>
          <w:tcPr>
            <w:tcW w:w="497" w:type="dxa"/>
            <w:vMerge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05E05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Nazwa kierunku: 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705E05" w:rsidRPr="00094992">
        <w:trPr>
          <w:cantSplit/>
        </w:trPr>
        <w:tc>
          <w:tcPr>
            <w:tcW w:w="497" w:type="dxa"/>
            <w:vMerge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ilologia polska – 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filologiczna obsługa biznesu</w:t>
            </w:r>
          </w:p>
        </w:tc>
      </w:tr>
      <w:tr w:rsidR="00705E05" w:rsidRPr="00094992">
        <w:trPr>
          <w:cantSplit/>
        </w:trPr>
        <w:tc>
          <w:tcPr>
            <w:tcW w:w="497" w:type="dxa"/>
            <w:vMerge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II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 </w:t>
            </w: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5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(literaturoznawczy)</w:t>
            </w:r>
          </w:p>
        </w:tc>
        <w:tc>
          <w:tcPr>
            <w:tcW w:w="3171" w:type="dxa"/>
            <w:gridSpan w:val="3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705E05" w:rsidRPr="00094992">
        <w:trPr>
          <w:cantSplit/>
        </w:trPr>
        <w:tc>
          <w:tcPr>
            <w:tcW w:w="497" w:type="dxa"/>
            <w:vMerge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094992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705E05" w:rsidRPr="0009499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05E05" w:rsidRPr="0009499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dr Mariusz Kraska</w:t>
            </w:r>
          </w:p>
        </w:tc>
      </w:tr>
      <w:tr w:rsidR="00705E05" w:rsidRPr="00094992">
        <w:tc>
          <w:tcPr>
            <w:tcW w:w="2988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dr Mariusz Kraska</w:t>
            </w:r>
          </w:p>
        </w:tc>
      </w:tr>
      <w:tr w:rsidR="00705E05" w:rsidRPr="00094992">
        <w:tc>
          <w:tcPr>
            <w:tcW w:w="2988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05E05" w:rsidRPr="00094992" w:rsidRDefault="00705E05" w:rsidP="004C0BA3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705E05" w:rsidRPr="00094992" w:rsidRDefault="00705E05" w:rsidP="004C0BA3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Celem zajęć jest zapoznanie studentów z problematyką odbioru dzieła literackiego i prezentacja wybranych teorii interpretacji literackiej; omówienia literatury jako autonomicznej formy komunikacji w różnych jej aspektach (estetycznym, poznawczym, etc.); doskonalenie analitycznych i interpretacyjnych kompetencji posiadanych przez studentów.</w:t>
            </w:r>
          </w:p>
          <w:p w:rsidR="00705E05" w:rsidRPr="00094992" w:rsidRDefault="00705E05" w:rsidP="004C0BA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Student posiada wiedzę zdobytą podczas zajęć z poetyki i teorii literatury oraz analizy tekstów kultury.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p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p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500"/>
        <w:gridCol w:w="40"/>
        <w:gridCol w:w="2275"/>
        <w:gridCol w:w="3485"/>
        <w:gridCol w:w="400"/>
        <w:gridCol w:w="1400"/>
      </w:tblGrid>
      <w:tr w:rsidR="00705E05" w:rsidRPr="00094992">
        <w:trPr>
          <w:cantSplit/>
        </w:trPr>
        <w:tc>
          <w:tcPr>
            <w:tcW w:w="10008" w:type="dxa"/>
            <w:gridSpan w:val="7"/>
            <w:tcBorders>
              <w:top w:val="single" w:sz="12" w:space="0" w:color="auto"/>
              <w:bottom w:val="nil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5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rPr>
          <w:cantSplit/>
        </w:trPr>
        <w:tc>
          <w:tcPr>
            <w:tcW w:w="908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705E05" w:rsidRPr="00094992" w:rsidRDefault="00705E05" w:rsidP="00381A29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>
              <w:rPr>
                <w:rFonts w:ascii="Cambria" w:hAnsi="Cambria" w:cs="Cambria"/>
                <w:sz w:val="24"/>
                <w:szCs w:val="24"/>
              </w:rPr>
              <w:t>opisuje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miejsce i znaczenie problematyki odbioru w nauce o literaturze.</w:t>
            </w:r>
          </w:p>
        </w:tc>
        <w:tc>
          <w:tcPr>
            <w:tcW w:w="1400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K_W01</w:t>
            </w:r>
          </w:p>
        </w:tc>
      </w:tr>
      <w:tr w:rsidR="00705E05" w:rsidRPr="00094992">
        <w:trPr>
          <w:cantSplit/>
        </w:trPr>
        <w:tc>
          <w:tcPr>
            <w:tcW w:w="908" w:type="dxa"/>
            <w:vAlign w:val="center"/>
          </w:tcPr>
          <w:p w:rsidR="00705E05" w:rsidRPr="00094992" w:rsidRDefault="00705E05" w:rsidP="00657EAD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705E05" w:rsidRPr="00094992" w:rsidRDefault="00705E05" w:rsidP="00381A29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>
              <w:rPr>
                <w:rFonts w:ascii="Cambria" w:hAnsi="Cambria" w:cs="Cambria"/>
                <w:sz w:val="24"/>
                <w:szCs w:val="24"/>
              </w:rPr>
              <w:t>identyfikuje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terminologię z dziedziny teorii odbioru dzieła literackiego.</w:t>
            </w:r>
          </w:p>
        </w:tc>
        <w:tc>
          <w:tcPr>
            <w:tcW w:w="1400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K_W02</w:t>
            </w:r>
          </w:p>
        </w:tc>
      </w:tr>
      <w:tr w:rsidR="00705E05" w:rsidRPr="00094992">
        <w:trPr>
          <w:cantSplit/>
        </w:trPr>
        <w:tc>
          <w:tcPr>
            <w:tcW w:w="908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705E05" w:rsidRPr="00094992" w:rsidRDefault="00705E05" w:rsidP="00C95D69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Student charakteryzuje wybrane teorie odbioru i interpretacji dzieła literackiego.</w:t>
            </w:r>
          </w:p>
        </w:tc>
        <w:tc>
          <w:tcPr>
            <w:tcW w:w="1400" w:type="dxa"/>
            <w:vAlign w:val="center"/>
          </w:tcPr>
          <w:p w:rsidR="00705E05" w:rsidRPr="00094992" w:rsidRDefault="00705E05" w:rsidP="00657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K_W03</w:t>
            </w:r>
          </w:p>
        </w:tc>
      </w:tr>
      <w:tr w:rsidR="00705E05" w:rsidRPr="00094992">
        <w:trPr>
          <w:cantSplit/>
        </w:trPr>
        <w:tc>
          <w:tcPr>
            <w:tcW w:w="908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705E05" w:rsidRPr="00094992" w:rsidRDefault="00705E05" w:rsidP="00381A29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rozpoznaje i 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analiz</w:t>
            </w:r>
            <w:r>
              <w:rPr>
                <w:rFonts w:ascii="Cambria" w:hAnsi="Cambria" w:cs="Cambria"/>
                <w:sz w:val="24"/>
                <w:szCs w:val="24"/>
              </w:rPr>
              <w:t>uje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podstawowe problemy z zakresu badań nad odbiorem dzieła literackiego.</w:t>
            </w:r>
          </w:p>
        </w:tc>
        <w:tc>
          <w:tcPr>
            <w:tcW w:w="1400" w:type="dxa"/>
            <w:vAlign w:val="center"/>
          </w:tcPr>
          <w:p w:rsidR="00705E05" w:rsidRPr="00094992" w:rsidRDefault="00705E05" w:rsidP="00657EA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K_U04</w:t>
            </w:r>
          </w:p>
        </w:tc>
      </w:tr>
      <w:tr w:rsidR="00705E05" w:rsidRPr="00094992">
        <w:trPr>
          <w:cantSplit/>
        </w:trPr>
        <w:tc>
          <w:tcPr>
            <w:tcW w:w="908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705E05" w:rsidRPr="00094992" w:rsidRDefault="00705E05" w:rsidP="00381A29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>
              <w:rPr>
                <w:rFonts w:ascii="Cambria" w:hAnsi="Cambria" w:cs="Cambria"/>
                <w:sz w:val="24"/>
                <w:szCs w:val="24"/>
              </w:rPr>
              <w:t>analizuje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i </w:t>
            </w:r>
            <w:r>
              <w:rPr>
                <w:rFonts w:ascii="Cambria" w:hAnsi="Cambria" w:cs="Cambria"/>
                <w:sz w:val="24"/>
                <w:szCs w:val="24"/>
              </w:rPr>
              <w:t>interpretuje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oraz </w:t>
            </w:r>
            <w:r>
              <w:rPr>
                <w:rFonts w:ascii="Cambria" w:hAnsi="Cambria" w:cs="Cambria"/>
                <w:sz w:val="24"/>
                <w:szCs w:val="24"/>
              </w:rPr>
              <w:t>ocenia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utwory literackie, wykorzystując stosowne instrumenty badawcze związane z zagadnieniem odbioru dzieła literackiego.</w:t>
            </w:r>
          </w:p>
        </w:tc>
        <w:tc>
          <w:tcPr>
            <w:tcW w:w="1400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K_U07</w:t>
            </w:r>
          </w:p>
        </w:tc>
      </w:tr>
      <w:tr w:rsidR="00705E05" w:rsidRPr="00094992">
        <w:trPr>
          <w:cantSplit/>
        </w:trPr>
        <w:tc>
          <w:tcPr>
            <w:tcW w:w="908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705E05" w:rsidRPr="00094992" w:rsidRDefault="00705E05" w:rsidP="00381A29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Student wyjaśni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i uzasadni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formułowan</w:t>
            </w:r>
            <w:r>
              <w:rPr>
                <w:rFonts w:ascii="Cambria" w:hAnsi="Cambria" w:cs="Cambria"/>
                <w:sz w:val="24"/>
                <w:szCs w:val="24"/>
              </w:rPr>
              <w:t>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przez siebie wniosk</w:t>
            </w:r>
            <w:r>
              <w:rPr>
                <w:rFonts w:ascii="Cambria" w:hAnsi="Cambria" w:cs="Cambria"/>
                <w:sz w:val="24"/>
                <w:szCs w:val="24"/>
              </w:rPr>
              <w:t>i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K_U08</w:t>
            </w:r>
          </w:p>
        </w:tc>
      </w:tr>
      <w:tr w:rsidR="00705E05" w:rsidRPr="00094992">
        <w:trPr>
          <w:cantSplit/>
        </w:trPr>
        <w:tc>
          <w:tcPr>
            <w:tcW w:w="908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07</w:t>
            </w: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705E05" w:rsidRPr="00094992" w:rsidRDefault="00705E05" w:rsidP="00381A29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Student krytycznie weryfik</w:t>
            </w:r>
            <w:r>
              <w:rPr>
                <w:rFonts w:ascii="Cambria" w:hAnsi="Cambria" w:cs="Cambria"/>
                <w:sz w:val="24"/>
                <w:szCs w:val="24"/>
              </w:rPr>
              <w:t>uje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i przeformułow</w:t>
            </w:r>
            <w:r>
              <w:rPr>
                <w:rFonts w:ascii="Cambria" w:hAnsi="Cambria" w:cs="Cambria"/>
                <w:sz w:val="24"/>
                <w:szCs w:val="24"/>
              </w:rPr>
              <w:t>uje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swoje stanowiska i sądy, mając świadomość złożoności problematyki badań nad odbiorem dzieła literackiego.</w:t>
            </w:r>
          </w:p>
        </w:tc>
        <w:tc>
          <w:tcPr>
            <w:tcW w:w="1400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K_K04</w:t>
            </w:r>
          </w:p>
        </w:tc>
      </w:tr>
      <w:tr w:rsidR="00705E05" w:rsidRPr="00094992">
        <w:trPr>
          <w:cantSplit/>
        </w:trPr>
        <w:tc>
          <w:tcPr>
            <w:tcW w:w="908" w:type="dxa"/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5"/>
            <w:tcBorders>
              <w:right w:val="nil"/>
            </w:tcBorders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5"/>
            <w:tcBorders>
              <w:bottom w:val="nil"/>
              <w:right w:val="nil"/>
            </w:tcBorders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nil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700" w:type="dxa"/>
            <w:gridSpan w:val="5"/>
            <w:tcBorders>
              <w:bottom w:val="single" w:sz="12" w:space="0" w:color="auto"/>
              <w:right w:val="nil"/>
            </w:tcBorders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705E05" w:rsidRPr="00094992" w:rsidRDefault="00705E05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705E05" w:rsidRPr="00094992" w:rsidRDefault="00705E05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Dzieło literackie w perspektywie komunikacyjnej;</w:t>
            </w:r>
          </w:p>
          <w:p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Pojęcia odbioru, lektury i interpretacji literackiej;</w:t>
            </w:r>
          </w:p>
          <w:p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Miejsce problematyki odbioru w badaniach literackich;</w:t>
            </w:r>
          </w:p>
          <w:p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Lektura dzieła literackiego jako forma przeżycia estetycznego;</w:t>
            </w:r>
          </w:p>
          <w:p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Odbiór dzieła literackiego a jego wartościowanie;</w:t>
            </w:r>
          </w:p>
          <w:p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Typy stylów odbioru; lektura aktywna i pasywna;</w:t>
            </w:r>
          </w:p>
          <w:p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Uwarunkowania komunikacji literackiej;</w:t>
            </w:r>
          </w:p>
          <w:p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Prezentacja wybranych teorii intepretacji;</w:t>
            </w:r>
          </w:p>
          <w:p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Lektura jako temat utworów literackich – analiza wybranych przykładów.</w:t>
            </w:r>
          </w:p>
          <w:p w:rsidR="00705E05" w:rsidRPr="00094992" w:rsidRDefault="00705E05" w:rsidP="00902D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705E05" w:rsidRPr="00094992" w:rsidRDefault="00705E05">
            <w:pPr>
              <w:pStyle w:val="Heading1"/>
              <w:rPr>
                <w:rFonts w:ascii="Cambria" w:hAnsi="Cambria" w:cs="Cambria"/>
              </w:rPr>
            </w:pPr>
            <w:r w:rsidRPr="00094992">
              <w:rPr>
                <w:rFonts w:ascii="Cambria" w:hAnsi="Cambria" w:cs="Cambria"/>
              </w:rPr>
              <w:t>Laboratorium</w:t>
            </w: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  <w:shd w:val="pct15" w:color="auto" w:fill="FFFFFF"/>
          </w:tcPr>
          <w:p w:rsidR="00705E05" w:rsidRPr="00094992" w:rsidRDefault="00705E05">
            <w:pPr>
              <w:pStyle w:val="Heading1"/>
              <w:rPr>
                <w:rFonts w:ascii="Cambria" w:hAnsi="Cambria" w:cs="Cambria"/>
              </w:rPr>
            </w:pPr>
            <w:r w:rsidRPr="00094992">
              <w:rPr>
                <w:rFonts w:ascii="Cambria" w:hAnsi="Cambria" w:cs="Cambria"/>
              </w:rPr>
              <w:t>Projekt</w:t>
            </w:r>
          </w:p>
        </w:tc>
      </w:tr>
      <w:tr w:rsidR="00705E05" w:rsidRPr="0009499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7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c>
          <w:tcPr>
            <w:tcW w:w="2448" w:type="dxa"/>
            <w:gridSpan w:val="3"/>
            <w:tcBorders>
              <w:top w:val="single" w:sz="12" w:space="0" w:color="auto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4"/>
            <w:tcBorders>
              <w:top w:val="single" w:sz="12" w:space="0" w:color="auto"/>
            </w:tcBorders>
          </w:tcPr>
          <w:p w:rsidR="00705E05" w:rsidRPr="00094992" w:rsidRDefault="00705E05" w:rsidP="00FF0F93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H. Markiewicz,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Odbiór i odbiorca w badaniach literackich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, w: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Wymiary dzieła literackiego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, Kraków 1984.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Problemy odbioru i odbiorcy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, pod red. T. Bujnickiego i J. Sławińskiego, Wrocław 1977.</w:t>
            </w:r>
          </w:p>
          <w:p w:rsidR="00705E05" w:rsidRPr="00094992" w:rsidRDefault="00705E05" w:rsidP="00FF0F93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J. Sławiński,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Miejsce interpretacji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, Gdańsk 2006.</w:t>
            </w:r>
          </w:p>
        </w:tc>
      </w:tr>
      <w:tr w:rsidR="00705E05" w:rsidRPr="00094992">
        <w:tc>
          <w:tcPr>
            <w:tcW w:w="2448" w:type="dxa"/>
            <w:gridSpan w:val="3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4"/>
          </w:tcPr>
          <w:p w:rsidR="00705E05" w:rsidRPr="00094992" w:rsidRDefault="00705E05" w:rsidP="00FF0F93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R. Barthes,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Przyjemność tekstu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, przeł. A. Lewańska, Warszawa 1997.</w:t>
            </w:r>
          </w:p>
          <w:p w:rsidR="00705E05" w:rsidRPr="00094992" w:rsidRDefault="00705E05" w:rsidP="00FF0F93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R. Barthes,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S/Z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, przeł. M. P. Markowski, Warszawa 1999.</w:t>
            </w:r>
          </w:p>
          <w:p w:rsidR="00705E05" w:rsidRPr="00094992" w:rsidRDefault="00705E05" w:rsidP="00FF0F93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P. Bayard,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Rodzaje nieczytania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, w: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Jak rozmawiać o książkach, których się nie czytało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, przeł. M. Kowalska, Warszawa 2008.</w:t>
            </w:r>
          </w:p>
          <w:p w:rsidR="00705E05" w:rsidRPr="00094992" w:rsidRDefault="00705E05" w:rsidP="00FF0F93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S. Fish,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Interpretacja, retoryka, polityka. Eseje wybrane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, Kraków 2002 (rozdz.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Co czyni interpretację możliwą do przyjęcia?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oraz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Dowodzenie vs perswazja: dwa modele krytycznej działalności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).</w:t>
            </w:r>
          </w:p>
          <w:p w:rsidR="00705E05" w:rsidRPr="00094992" w:rsidRDefault="00705E05" w:rsidP="00FF0F93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Głowiński M., </w:t>
            </w:r>
            <w:r w:rsidRPr="00094992">
              <w:rPr>
                <w:rStyle w:val="Emphasis"/>
                <w:rFonts w:ascii="Cambria" w:hAnsi="Cambria" w:cs="Cambria"/>
                <w:sz w:val="24"/>
                <w:szCs w:val="24"/>
              </w:rPr>
              <w:t>Świadectwa i style odbioru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[w:] tegoż, </w:t>
            </w:r>
            <w:r w:rsidRPr="00094992">
              <w:rPr>
                <w:rStyle w:val="Emphasis"/>
                <w:rFonts w:ascii="Cambria" w:hAnsi="Cambria" w:cs="Cambria"/>
                <w:sz w:val="24"/>
                <w:szCs w:val="24"/>
              </w:rPr>
              <w:t>Style odbioru. Szkice o komunikacji literackiej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, Kraków 1977.</w:t>
            </w:r>
          </w:p>
          <w:p w:rsidR="00705E05" w:rsidRPr="00094992" w:rsidRDefault="00705E05" w:rsidP="00FF0F93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W. Iser,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Apelacyjna struktura tekstów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, przeł. W. Bialik, W: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Współczesna myśl literaturoznawcza w RFN. Antologia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, wybór i wstęp H. Orłowski, Warszawa 1986 lub W: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Teorie Literatury XX wieku. Antologia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, pod red. A. Burzyńskiej i M. P. Markowskiego, red. T. Michałowska i in., Kraków 2006.</w:t>
            </w:r>
          </w:p>
          <w:p w:rsidR="00705E05" w:rsidRPr="00094992" w:rsidRDefault="00705E05" w:rsidP="00FF0F93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H. Markiewicz,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O falsyfikowaniu interpretacji literaturoznawczych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, W: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Wiedza o literaturze i edukacja. Księga referatów Zjazdu Polonistów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, Warszawa 1995.</w:t>
            </w:r>
          </w:p>
          <w:p w:rsidR="00705E05" w:rsidRPr="00094992" w:rsidRDefault="00705E05" w:rsidP="00FF0F93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O wartościowaniu w badaniach literackich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, red. W. Panas, S. Sawicki, Lublin 1986.</w:t>
            </w:r>
          </w:p>
          <w:p w:rsidR="00705E05" w:rsidRPr="00094992" w:rsidRDefault="00705E05" w:rsidP="00FF0F93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P. Ricoeur,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Konflikt hermeneutyk: epistemologia interpretacji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, w: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Egzystencja i hermeneutyka. Rozprawy o metodzie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, przeł. E. Bieńkowska i in., wybór i oprac. S. Cichowicz, Warszawa 1985.</w:t>
            </w:r>
          </w:p>
          <w:p w:rsidR="00705E05" w:rsidRPr="00094992" w:rsidRDefault="00705E05" w:rsidP="00FF0F93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E. Staiger,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Sztuka interpretacji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, przeł. O. Dobijanka-Witczakowa, W: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Współczesna teoria badań literackich za granicą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, T. 1, oprac. H. Markiewicz Wrocław 1976.</w:t>
            </w:r>
          </w:p>
          <w:p w:rsidR="00705E05" w:rsidRPr="00094992" w:rsidRDefault="00705E05" w:rsidP="00FF0F93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A. Szahaj, </w:t>
            </w:r>
            <w:r w:rsidRPr="00094992">
              <w:rPr>
                <w:rFonts w:ascii="Cambria" w:hAnsi="Cambria" w:cs="Cambria"/>
                <w:i/>
                <w:iCs/>
                <w:sz w:val="24"/>
                <w:szCs w:val="24"/>
              </w:rPr>
              <w:t>Granice anarchizmu interpretacyjnego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, „Teksty Drugie” 1997, nr oraz dyskusja opublikowana w tym numerze pisma.</w:t>
            </w:r>
          </w:p>
          <w:p w:rsidR="00705E05" w:rsidRPr="00094992" w:rsidRDefault="00705E05" w:rsidP="005F5F7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705E05" w:rsidRPr="00094992" w:rsidRDefault="00705E05" w:rsidP="005F5F7D">
            <w:pPr>
              <w:jc w:val="both"/>
              <w:rPr>
                <w:rFonts w:ascii="Cambria" w:hAnsi="Cambria" w:cs="Cambria"/>
              </w:rPr>
            </w:pPr>
            <w:r w:rsidRPr="00094992">
              <w:rPr>
                <w:rFonts w:ascii="Cambria" w:hAnsi="Cambria" w:cs="Cambria"/>
              </w:rPr>
              <w:t>Uwaga: Prowadzący zastrzega sobie możliwość wprowadzenia innych lektur jako kontekstu do interpretacji wybranego zagadnienia lub tekstu.</w:t>
            </w:r>
          </w:p>
        </w:tc>
      </w:tr>
      <w:tr w:rsidR="00705E05" w:rsidRPr="0009499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705E05" w:rsidRPr="00094992" w:rsidRDefault="00705E05" w:rsidP="00E47935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705E05" w:rsidRPr="00094992" w:rsidRDefault="00705E05" w:rsidP="00E4793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ćwiczenia audytoryjne: analiza tekstów z dyskusją/ analiza zdarzeń krytycznych (przypadków) / </w:t>
            </w:r>
          </w:p>
          <w:p w:rsidR="00705E05" w:rsidRPr="00094992" w:rsidRDefault="00705E05" w:rsidP="00E4793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094992">
              <w:rPr>
                <w:rFonts w:ascii="Cambria" w:hAnsi="Cambria" w:cs="Cambria"/>
                <w:sz w:val="18"/>
                <w:szCs w:val="18"/>
              </w:rPr>
              <w:t>Nr efektu kształcenia przedmiotu</w:t>
            </w:r>
            <w:r w:rsidRPr="00094992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705E05" w:rsidRPr="0009499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bottom w:val="single" w:sz="2" w:space="0" w:color="auto"/>
            </w:tcBorders>
          </w:tcPr>
          <w:p w:rsidR="00705E05" w:rsidRPr="00094992" w:rsidRDefault="00705E05" w:rsidP="00D25E6E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705E05" w:rsidRPr="00094992" w:rsidRDefault="00705E05" w:rsidP="00D25E6E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Kolokwium</w:t>
            </w:r>
          </w:p>
        </w:tc>
        <w:tc>
          <w:tcPr>
            <w:tcW w:w="1800" w:type="dxa"/>
            <w:gridSpan w:val="2"/>
            <w:tcBorders>
              <w:bottom w:val="single" w:sz="2" w:space="0" w:color="auto"/>
            </w:tcBorders>
          </w:tcPr>
          <w:p w:rsidR="00705E05" w:rsidRPr="00094992" w:rsidRDefault="00705E05" w:rsidP="00652CD8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 xml:space="preserve">01  02   03  04  05  06  </w:t>
            </w:r>
          </w:p>
        </w:tc>
      </w:tr>
      <w:tr w:rsidR="00705E05" w:rsidRPr="0009499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</w:tcPr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Wypowiedzi ustne studentów podczas zajęć</w:t>
            </w:r>
          </w:p>
        </w:tc>
        <w:tc>
          <w:tcPr>
            <w:tcW w:w="1800" w:type="dxa"/>
            <w:gridSpan w:val="2"/>
          </w:tcPr>
          <w:p w:rsidR="00705E05" w:rsidRPr="00094992" w:rsidRDefault="00705E05" w:rsidP="00652CD8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01  02   03  04  05  06   07</w:t>
            </w:r>
          </w:p>
        </w:tc>
      </w:tr>
      <w:tr w:rsidR="00705E05" w:rsidRPr="0009499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5"/>
            <w:tcBorders>
              <w:bottom w:val="single" w:sz="12" w:space="0" w:color="auto"/>
            </w:tcBorders>
          </w:tcPr>
          <w:p w:rsidR="00705E05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bottom w:val="single" w:sz="12" w:space="0" w:color="auto"/>
            </w:tcBorders>
          </w:tcPr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705E05" w:rsidRPr="0009499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:rsidR="00705E05" w:rsidRDefault="00705E05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Kolokwium – 80%</w:t>
            </w:r>
          </w:p>
          <w:p w:rsidR="00705E05" w:rsidRPr="00094992" w:rsidRDefault="00705E05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>Aktywna postawa podczas zajęć – 20%</w:t>
            </w:r>
          </w:p>
          <w:p w:rsidR="00705E05" w:rsidRPr="00094992" w:rsidRDefault="00705E05" w:rsidP="00652CD8">
            <w:pPr>
              <w:rPr>
                <w:rFonts w:ascii="Cambria" w:hAnsi="Cambria" w:cs="Cambria"/>
                <w:sz w:val="22"/>
                <w:szCs w:val="22"/>
              </w:rPr>
            </w:pPr>
            <w:r w:rsidRPr="00094992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</w:tc>
      </w:tr>
      <w:tr w:rsidR="00705E05" w:rsidRPr="00094992">
        <w:tc>
          <w:tcPr>
            <w:tcW w:w="10008" w:type="dxa"/>
            <w:gridSpan w:val="7"/>
            <w:tcBorders>
              <w:top w:val="single" w:sz="12" w:space="0" w:color="auto"/>
            </w:tcBorders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705E05" w:rsidRPr="00094992">
        <w:trPr>
          <w:trHeight w:val="263"/>
        </w:trPr>
        <w:tc>
          <w:tcPr>
            <w:tcW w:w="4723" w:type="dxa"/>
            <w:gridSpan w:val="4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3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705E05" w:rsidRPr="00094992">
        <w:trPr>
          <w:trHeight w:val="262"/>
        </w:trPr>
        <w:tc>
          <w:tcPr>
            <w:tcW w:w="4723" w:type="dxa"/>
            <w:gridSpan w:val="4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3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rPr>
          <w:trHeight w:val="262"/>
        </w:trPr>
        <w:tc>
          <w:tcPr>
            <w:tcW w:w="4723" w:type="dxa"/>
            <w:gridSpan w:val="4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3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rPr>
          <w:trHeight w:val="262"/>
        </w:trPr>
        <w:tc>
          <w:tcPr>
            <w:tcW w:w="4723" w:type="dxa"/>
            <w:gridSpan w:val="4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094992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705E05" w:rsidRPr="00094992">
        <w:trPr>
          <w:trHeight w:val="262"/>
        </w:trPr>
        <w:tc>
          <w:tcPr>
            <w:tcW w:w="4723" w:type="dxa"/>
            <w:gridSpan w:val="4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094992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3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705E05" w:rsidRPr="00094992">
        <w:trPr>
          <w:trHeight w:val="262"/>
        </w:trPr>
        <w:tc>
          <w:tcPr>
            <w:tcW w:w="4723" w:type="dxa"/>
            <w:gridSpan w:val="4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094992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3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rPr>
          <w:trHeight w:val="262"/>
        </w:trPr>
        <w:tc>
          <w:tcPr>
            <w:tcW w:w="4723" w:type="dxa"/>
            <w:gridSpan w:val="4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3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</w:tr>
      <w:tr w:rsidR="00705E05" w:rsidRPr="00094992">
        <w:trPr>
          <w:trHeight w:val="262"/>
        </w:trPr>
        <w:tc>
          <w:tcPr>
            <w:tcW w:w="4723" w:type="dxa"/>
            <w:gridSpan w:val="4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3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705E05" w:rsidRPr="00094992">
        <w:trPr>
          <w:trHeight w:val="262"/>
        </w:trPr>
        <w:tc>
          <w:tcPr>
            <w:tcW w:w="4723" w:type="dxa"/>
            <w:gridSpan w:val="4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3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705E05" w:rsidRPr="00094992">
        <w:trPr>
          <w:trHeight w:val="262"/>
        </w:trPr>
        <w:tc>
          <w:tcPr>
            <w:tcW w:w="4723" w:type="dxa"/>
            <w:gridSpan w:val="4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3"/>
          </w:tcPr>
          <w:p w:rsidR="00705E05" w:rsidRPr="00094992" w:rsidRDefault="00705E05" w:rsidP="00370E96">
            <w:pPr>
              <w:spacing w:line="360" w:lineRule="auto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705E05" w:rsidRPr="00094992">
        <w:trPr>
          <w:trHeight w:val="417"/>
        </w:trPr>
        <w:tc>
          <w:tcPr>
            <w:tcW w:w="4723" w:type="dxa"/>
            <w:gridSpan w:val="4"/>
            <w:shd w:val="clear" w:color="auto" w:fill="C0C0C0"/>
          </w:tcPr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3"/>
            <w:shd w:val="clear" w:color="auto" w:fill="C0C0C0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705E05" w:rsidRPr="00094992">
        <w:trPr>
          <w:trHeight w:val="262"/>
        </w:trPr>
        <w:tc>
          <w:tcPr>
            <w:tcW w:w="4723" w:type="dxa"/>
            <w:gridSpan w:val="4"/>
            <w:shd w:val="clear" w:color="auto" w:fill="C0C0C0"/>
          </w:tcPr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094992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705E05" w:rsidRPr="00094992" w:rsidRDefault="00705E0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3"/>
            <w:shd w:val="clear" w:color="auto" w:fill="C0C0C0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(30+10=40)</w:t>
            </w:r>
          </w:p>
          <w:p w:rsidR="00705E05" w:rsidRPr="00094992" w:rsidRDefault="00705E0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,6</w:t>
            </w:r>
            <w:r w:rsidRPr="00094992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705E05" w:rsidRPr="00094992">
        <w:trPr>
          <w:trHeight w:val="262"/>
        </w:trPr>
        <w:tc>
          <w:tcPr>
            <w:tcW w:w="4723" w:type="dxa"/>
            <w:gridSpan w:val="4"/>
            <w:tcBorders>
              <w:bottom w:val="single" w:sz="12" w:space="0" w:color="auto"/>
            </w:tcBorders>
            <w:shd w:val="clear" w:color="auto" w:fill="C0C0C0"/>
          </w:tcPr>
          <w:p w:rsidR="00705E05" w:rsidRPr="00094992" w:rsidRDefault="00705E0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705E05" w:rsidRPr="00094992" w:rsidRDefault="00705E05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,3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p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p w:rsidR="00705E05" w:rsidRPr="00094992" w:rsidRDefault="00705E05">
      <w:pPr>
        <w:rPr>
          <w:rFonts w:ascii="Cambria" w:hAnsi="Cambria" w:cs="Cambria"/>
          <w:sz w:val="24"/>
          <w:szCs w:val="24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p w:rsidR="00705E05" w:rsidRPr="00094992" w:rsidRDefault="00705E05">
      <w:pPr>
        <w:pStyle w:val="Default"/>
        <w:rPr>
          <w:rFonts w:ascii="Cambria" w:hAnsi="Cambria" w:cs="Cambria"/>
        </w:rPr>
      </w:pPr>
    </w:p>
    <w:sectPr w:rsidR="00705E05" w:rsidRPr="00094992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E05" w:rsidRDefault="00705E05">
      <w:r>
        <w:separator/>
      </w:r>
    </w:p>
  </w:endnote>
  <w:endnote w:type="continuationSeparator" w:id="0">
    <w:p w:rsidR="00705E05" w:rsidRDefault="00705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E05" w:rsidRDefault="00705E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05E05" w:rsidRDefault="00705E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5E05" w:rsidRDefault="00705E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05E05" w:rsidRDefault="00705E0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E05" w:rsidRDefault="00705E05">
      <w:r>
        <w:separator/>
      </w:r>
    </w:p>
  </w:footnote>
  <w:footnote w:type="continuationSeparator" w:id="0">
    <w:p w:rsidR="00705E05" w:rsidRDefault="00705E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F18B7"/>
    <w:multiLevelType w:val="hybridMultilevel"/>
    <w:tmpl w:val="BFF24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>
    <w:nsid w:val="28FF00AE"/>
    <w:multiLevelType w:val="hybridMultilevel"/>
    <w:tmpl w:val="06AAF1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C75A56"/>
    <w:multiLevelType w:val="hybridMultilevel"/>
    <w:tmpl w:val="CA5A8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6C512525"/>
    <w:multiLevelType w:val="hybridMultilevel"/>
    <w:tmpl w:val="273ED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9"/>
  </w:num>
  <w:num w:numId="5">
    <w:abstractNumId w:val="11"/>
  </w:num>
  <w:num w:numId="6">
    <w:abstractNumId w:val="1"/>
  </w:num>
  <w:num w:numId="7">
    <w:abstractNumId w:val="16"/>
  </w:num>
  <w:num w:numId="8">
    <w:abstractNumId w:val="0"/>
  </w:num>
  <w:num w:numId="9">
    <w:abstractNumId w:val="15"/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2"/>
  </w:num>
  <w:num w:numId="15">
    <w:abstractNumId w:val="17"/>
  </w:num>
  <w:num w:numId="16">
    <w:abstractNumId w:val="6"/>
  </w:num>
  <w:num w:numId="17">
    <w:abstractNumId w:val="20"/>
  </w:num>
  <w:num w:numId="18">
    <w:abstractNumId w:val="19"/>
  </w:num>
  <w:num w:numId="19">
    <w:abstractNumId w:val="10"/>
  </w:num>
  <w:num w:numId="20">
    <w:abstractNumId w:val="12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50D64"/>
    <w:rsid w:val="00054A4F"/>
    <w:rsid w:val="00056F97"/>
    <w:rsid w:val="0009065D"/>
    <w:rsid w:val="00094992"/>
    <w:rsid w:val="000F31D2"/>
    <w:rsid w:val="001C2DDF"/>
    <w:rsid w:val="001F010F"/>
    <w:rsid w:val="002354D6"/>
    <w:rsid w:val="0025466B"/>
    <w:rsid w:val="002635FE"/>
    <w:rsid w:val="00295838"/>
    <w:rsid w:val="002A2CBA"/>
    <w:rsid w:val="002C195A"/>
    <w:rsid w:val="0036489A"/>
    <w:rsid w:val="00370E96"/>
    <w:rsid w:val="00381A29"/>
    <w:rsid w:val="003A0F48"/>
    <w:rsid w:val="003F1597"/>
    <w:rsid w:val="004154CB"/>
    <w:rsid w:val="0049796F"/>
    <w:rsid w:val="004A44C6"/>
    <w:rsid w:val="004C0BA3"/>
    <w:rsid w:val="00506F54"/>
    <w:rsid w:val="00561E05"/>
    <w:rsid w:val="00570245"/>
    <w:rsid w:val="00584071"/>
    <w:rsid w:val="005F5F7D"/>
    <w:rsid w:val="00652CD8"/>
    <w:rsid w:val="00657EAD"/>
    <w:rsid w:val="006908CA"/>
    <w:rsid w:val="00705E05"/>
    <w:rsid w:val="00707BFB"/>
    <w:rsid w:val="00716F76"/>
    <w:rsid w:val="00721A23"/>
    <w:rsid w:val="007D09E6"/>
    <w:rsid w:val="007F00C2"/>
    <w:rsid w:val="007F0A2C"/>
    <w:rsid w:val="007F3432"/>
    <w:rsid w:val="008266B5"/>
    <w:rsid w:val="00866E40"/>
    <w:rsid w:val="008827BE"/>
    <w:rsid w:val="00891143"/>
    <w:rsid w:val="00891FD6"/>
    <w:rsid w:val="008B1B4D"/>
    <w:rsid w:val="008E1F7C"/>
    <w:rsid w:val="009011C2"/>
    <w:rsid w:val="00902D6D"/>
    <w:rsid w:val="00994C1B"/>
    <w:rsid w:val="00A37B48"/>
    <w:rsid w:val="00A85891"/>
    <w:rsid w:val="00A92120"/>
    <w:rsid w:val="00AA722F"/>
    <w:rsid w:val="00AB2AD4"/>
    <w:rsid w:val="00AE5CCF"/>
    <w:rsid w:val="00B12DC9"/>
    <w:rsid w:val="00B37F8D"/>
    <w:rsid w:val="00B46E0F"/>
    <w:rsid w:val="00BC35A1"/>
    <w:rsid w:val="00BC6DF9"/>
    <w:rsid w:val="00BF0F94"/>
    <w:rsid w:val="00BF38AE"/>
    <w:rsid w:val="00C26D00"/>
    <w:rsid w:val="00C95D69"/>
    <w:rsid w:val="00CD218F"/>
    <w:rsid w:val="00D2313B"/>
    <w:rsid w:val="00D25E6E"/>
    <w:rsid w:val="00D2749A"/>
    <w:rsid w:val="00D53DFD"/>
    <w:rsid w:val="00D64DE4"/>
    <w:rsid w:val="00D957CF"/>
    <w:rsid w:val="00DA5905"/>
    <w:rsid w:val="00DD062C"/>
    <w:rsid w:val="00E47935"/>
    <w:rsid w:val="00ED3C91"/>
    <w:rsid w:val="00EF0FB2"/>
    <w:rsid w:val="00F160ED"/>
    <w:rsid w:val="00F928C1"/>
    <w:rsid w:val="00FF0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nhideWhenUsed="0" w:qFormat="1"/>
    <w:lsdException w:name="Normal (Web)" w:unhideWhenUsed="0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49A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749A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749A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2749A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2749A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2749A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2749A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5E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5E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5E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5EB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5EB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5EB0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D2749A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2749A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95EB0"/>
    <w:rPr>
      <w:sz w:val="20"/>
      <w:szCs w:val="20"/>
    </w:rPr>
  </w:style>
  <w:style w:type="paragraph" w:styleId="NormalWeb">
    <w:name w:val="Normal (Web)"/>
    <w:basedOn w:val="Normal"/>
    <w:uiPriority w:val="99"/>
    <w:rsid w:val="00D2749A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D2749A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95EB0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749A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95EB0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2749A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95E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D2749A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D2749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5EB0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D2749A"/>
  </w:style>
  <w:style w:type="paragraph" w:styleId="Footer">
    <w:name w:val="footer"/>
    <w:basedOn w:val="Normal"/>
    <w:link w:val="FooterChar"/>
    <w:uiPriority w:val="99"/>
    <w:rsid w:val="00D2749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5EB0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D2749A"/>
  </w:style>
  <w:style w:type="paragraph" w:styleId="Subtitle">
    <w:name w:val="Subtitle"/>
    <w:basedOn w:val="Normal"/>
    <w:link w:val="SubtitleChar"/>
    <w:uiPriority w:val="99"/>
    <w:qFormat/>
    <w:rsid w:val="00D2749A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495EB0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D2749A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D2749A"/>
  </w:style>
  <w:style w:type="paragraph" w:styleId="HTMLPreformatted">
    <w:name w:val="HTML Preformatted"/>
    <w:basedOn w:val="Normal"/>
    <w:link w:val="HTMLPreformattedChar"/>
    <w:uiPriority w:val="99"/>
    <w:rsid w:val="005840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84071"/>
    <w:rPr>
      <w:rFonts w:ascii="Courier New" w:hAnsi="Courier New" w:cs="Courier New"/>
    </w:rPr>
  </w:style>
  <w:style w:type="character" w:styleId="Emphasis">
    <w:name w:val="Emphasis"/>
    <w:basedOn w:val="DefaultParagraphFont"/>
    <w:uiPriority w:val="99"/>
    <w:qFormat/>
    <w:rsid w:val="00FF0F9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811</Words>
  <Characters>4867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2012-04-03T14:52:00Z</cp:lastPrinted>
  <dcterms:created xsi:type="dcterms:W3CDTF">2012-09-19T17:39:00Z</dcterms:created>
  <dcterms:modified xsi:type="dcterms:W3CDTF">2012-09-19T17:39:00Z</dcterms:modified>
</cp:coreProperties>
</file>